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b/>
          <w:bCs/>
          <w:sz w:val="28"/>
          <w:szCs w:val="28"/>
        </w:rPr>
        <w:tab/>
        <w:tab/>
        <w:tab/>
        <w:tab/>
        <w:tab/>
        <w:tab/>
      </w:r>
    </w:p>
    <w:p>
      <w:pPr>
        <w:pStyle w:val="Normal"/>
        <w:jc w:val="center"/>
        <w:rPr/>
      </w:pPr>
      <w:r>
        <w:rPr>
          <w:b/>
          <w:bCs/>
          <w:sz w:val="28"/>
          <w:szCs w:val="28"/>
        </w:rPr>
        <w:t>ДОКЛАД ПРАВЛЕНИЯ СНТ</w:t>
      </w:r>
    </w:p>
    <w:p>
      <w:pPr>
        <w:pStyle w:val="Normal"/>
        <w:jc w:val="center"/>
        <w:rPr/>
      </w:pPr>
      <w:r>
        <w:rPr>
          <w:b/>
          <w:bCs/>
          <w:sz w:val="28"/>
          <w:szCs w:val="28"/>
        </w:rPr>
        <w:t>(к собранию 06 июня 2026г.)</w:t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both"/>
        <w:rPr/>
      </w:pPr>
      <w:r>
        <w:rPr>
          <w:b w:val="false"/>
          <w:bCs w:val="false"/>
          <w:sz w:val="28"/>
          <w:szCs w:val="28"/>
        </w:rPr>
        <w:tab/>
        <w:tab/>
      </w:r>
    </w:p>
    <w:p>
      <w:pPr>
        <w:pStyle w:val="Normal"/>
        <w:jc w:val="both"/>
        <w:rPr/>
      </w:pPr>
      <w:r>
        <w:rPr>
          <w:b w:val="false"/>
          <w:bCs w:val="false"/>
          <w:sz w:val="28"/>
          <w:szCs w:val="28"/>
        </w:rPr>
        <w:tab/>
        <w:t>Выполнялись постоянные мероприятия по содержанию и обслуживанию СНТ:</w:t>
      </w:r>
    </w:p>
    <w:p>
      <w:pPr>
        <w:pStyle w:val="Normal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- расчет с Мосэнергосбытом за потрбленную электроэнергию общего назначения;</w:t>
      </w:r>
    </w:p>
    <w:p>
      <w:pPr>
        <w:pStyle w:val="Normal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- вывоз смешанных ТКО, отходов раздельного сбора (РСО) и крупногабаритного мусора (КГМ);</w:t>
      </w:r>
    </w:p>
    <w:p>
      <w:pPr>
        <w:pStyle w:val="Normal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- работы по содержанию и ремонту уличного освещения;</w:t>
      </w:r>
    </w:p>
    <w:p>
      <w:pPr>
        <w:pStyle w:val="Normal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- покос травы и борщевика на землях общего назначения;</w:t>
      </w:r>
    </w:p>
    <w:p>
      <w:pPr>
        <w:pStyle w:val="Normal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- уборка снега в зимний период.</w:t>
      </w:r>
    </w:p>
    <w:p>
      <w:pPr>
        <w:pStyle w:val="Normal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ab/>
        <w:t>В зимний период имели место проблемы с вывозом мусора со стороны Рузского регионального оператора. Все факты неприбытия машин были зафиксированы правлением, составлены акты и претензионные письма, которые были переданы  региональному оператору, администрации муниципального округа Истра и в министерство Московоской области по содержанию территорий и государственному жилищному надзору. В результате  проведенной претензионной работы региональный оператор возобновил вывоз мусора по графику, а за невывезенный вовремя объем согласился предоставить дополнительные, без оплаты, 4 бункера КГО в апреле-мае.</w:t>
      </w:r>
    </w:p>
    <w:p>
      <w:pPr>
        <w:pStyle w:val="Normal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ab/>
        <w:t>В системе уличного освещения оперативно заменены неисправные светильники, лампы, прожекторы по всей территории СНТ.</w:t>
      </w:r>
    </w:p>
    <w:p>
      <w:pPr>
        <w:pStyle w:val="Normal"/>
        <w:jc w:val="both"/>
        <w:rPr/>
      </w:pPr>
      <w:r>
        <w:rPr>
          <w:b w:val="false"/>
          <w:bCs w:val="false"/>
          <w:sz w:val="28"/>
          <w:szCs w:val="28"/>
        </w:rPr>
        <w:tab/>
        <w:t>Для уборки снега в зимний период был выбран новый подрядчик с более низкими ценами (на 20% по сравнению с предыдущим периодом), что позволило с запасом уложиться в сметную стоимость в условиях многоснежной зимы.</w:t>
      </w:r>
    </w:p>
    <w:p>
      <w:pPr>
        <w:pStyle w:val="Normal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ab/>
        <w:t>Были проведены работы по модернизации и восстановлению системы видеонаблюдения, что позволяет отслеживать обстановку на уязвимых местах и принимать по необходимости меры. Так, было выявлено более 15 нарушений на контейнерных площадках, когда садоводы выбрасывали мусор на землю мимо баков, бросали кусты и ветки на территории контейнерных площадок и т.п. Все нарушители были идентифицированы и были вынуждены устранить последствия своих нарушений.</w:t>
      </w:r>
    </w:p>
    <w:p>
      <w:pPr>
        <w:pStyle w:val="Normal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ab/>
        <w:t>В рамках хозяйственных  мероприятий осуществлялось:</w:t>
      </w:r>
    </w:p>
    <w:p>
      <w:pPr>
        <w:pStyle w:val="Normal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- обслуживание шлагбаума,</w:t>
      </w:r>
    </w:p>
    <w:p>
      <w:pPr>
        <w:pStyle w:val="Normal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- закупка песка для нужд бдагоустройства и подсыпки зимой для ликвидации обледенения на дорожках к платформе и к роднику.</w:t>
      </w:r>
    </w:p>
    <w:p>
      <w:pPr>
        <w:pStyle w:val="Normal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ab/>
        <w:t>Регулярно осуществлялось формирование и отправка в гос.органы отчетности, налоговой и бухгалтерской, ведение внутреннего учета.</w:t>
      </w:r>
    </w:p>
    <w:p>
      <w:pPr>
        <w:pStyle w:val="Normal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ab/>
        <w:t>Были выполнены запланированные целевые мероприятия (в полном объеме):</w:t>
      </w:r>
    </w:p>
    <w:p>
      <w:pPr>
        <w:pStyle w:val="Normal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- капитальный ремонт участка центральной дороги от въезда до 6 линии;</w:t>
      </w:r>
    </w:p>
    <w:p>
      <w:pPr>
        <w:pStyle w:val="Normal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- восстановление 110м общего забора в Солнечном-2;</w:t>
      </w:r>
    </w:p>
    <w:p>
      <w:pPr>
        <w:pStyle w:val="Normal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- установлен новый забор у предполагаемой детской площадки;</w:t>
      </w:r>
    </w:p>
    <w:p>
      <w:pPr>
        <w:pStyle w:val="Normal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- реализовано судебное преследование должников (издано 3 судебных приказа, еще 8 дел находятся в стадии рассмотрения). Один из должников после получения судебного приказа оплатил задолженность в добровольном порядке.</w:t>
      </w:r>
    </w:p>
    <w:p>
      <w:pPr>
        <w:pStyle w:val="Normal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Хотелось бы отметить, что среди должников есть не только многолетне заброшенные участки, но и вполне обжитые, имеющие владельцев, регулярно появляющихся или проживающих, а именно: 140, 179, 194-195, 223, 253-254, 266-267, 270. Эти люди пользуются общей инфраструктурой СНТ по сути за счет остальных садоводов.</w:t>
      </w:r>
    </w:p>
    <w:p>
      <w:pPr>
        <w:pStyle w:val="Normal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ab/>
      </w:r>
    </w:p>
    <w:p>
      <w:pPr>
        <w:pStyle w:val="Normal"/>
        <w:jc w:val="both"/>
        <w:rPr/>
      </w:pPr>
      <w:r>
        <w:rPr>
          <w:b w:val="false"/>
          <w:bCs w:val="false"/>
          <w:sz w:val="28"/>
          <w:szCs w:val="28"/>
        </w:rPr>
        <w:tab/>
        <w:t>Показатели по состоянию на 27 апреля:</w:t>
      </w:r>
    </w:p>
    <w:p>
      <w:pPr>
        <w:pStyle w:val="Normal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ab/>
        <w:t>Даннве показатели будут меняться до закрытия финансового года 31 мая, предстоят оплаты электроэнергии, вывоза отходов, выплаты зарплаты по уборке мусорныз площадок и дежурному у ворот, а также оплаты текущих работ.</w:t>
      </w:r>
    </w:p>
    <w:tbl>
      <w:tblPr>
        <w:tblW w:w="9638" w:type="dxa"/>
        <w:jc w:val="lef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2" w:type="dxa"/>
          <w:bottom w:w="55" w:type="dxa"/>
          <w:right w:w="55" w:type="dxa"/>
        </w:tblCellMar>
      </w:tblPr>
      <w:tblGrid>
        <w:gridCol w:w="2717"/>
        <w:gridCol w:w="2721"/>
        <w:gridCol w:w="1788"/>
        <w:gridCol w:w="2411"/>
      </w:tblGrid>
      <w:tr>
        <w:trPr/>
        <w:tc>
          <w:tcPr>
            <w:tcW w:w="2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Статья сметы</w:t>
            </w:r>
          </w:p>
        </w:tc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 xml:space="preserve">Плановый показатель </w:t>
            </w:r>
          </w:p>
        </w:tc>
        <w:tc>
          <w:tcPr>
            <w:tcW w:w="1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Факт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Экономия/перерасход</w:t>
            </w:r>
          </w:p>
        </w:tc>
      </w:tr>
      <w:tr>
        <w:trPr/>
        <w:tc>
          <w:tcPr>
            <w:tcW w:w="2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Обслуживание в/камер</w:t>
            </w:r>
          </w:p>
        </w:tc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160 000</w:t>
            </w:r>
          </w:p>
        </w:tc>
        <w:tc>
          <w:tcPr>
            <w:tcW w:w="1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142 335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17 765</w:t>
            </w:r>
          </w:p>
        </w:tc>
      </w:tr>
      <w:tr>
        <w:trPr/>
        <w:tc>
          <w:tcPr>
            <w:tcW w:w="2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Шлагбаум</w:t>
            </w:r>
          </w:p>
        </w:tc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8 500</w:t>
            </w:r>
          </w:p>
        </w:tc>
        <w:tc>
          <w:tcPr>
            <w:tcW w:w="1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16 624,40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-8 124,40</w:t>
            </w:r>
          </w:p>
        </w:tc>
      </w:tr>
      <w:tr>
        <w:trPr/>
        <w:tc>
          <w:tcPr>
            <w:tcW w:w="2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Уличное освещение</w:t>
            </w:r>
          </w:p>
        </w:tc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45 000</w:t>
            </w:r>
          </w:p>
        </w:tc>
        <w:tc>
          <w:tcPr>
            <w:tcW w:w="1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44 968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32,00</w:t>
            </w:r>
          </w:p>
        </w:tc>
      </w:tr>
      <w:tr>
        <w:trPr/>
        <w:tc>
          <w:tcPr>
            <w:tcW w:w="2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Э/энергия МОП</w:t>
            </w:r>
          </w:p>
        </w:tc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285 000</w:t>
            </w:r>
          </w:p>
        </w:tc>
        <w:tc>
          <w:tcPr>
            <w:tcW w:w="1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219 995,48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65 004,52</w:t>
            </w:r>
          </w:p>
        </w:tc>
      </w:tr>
      <w:tr>
        <w:trPr/>
        <w:tc>
          <w:tcPr>
            <w:tcW w:w="2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Вывоз ТКО</w:t>
            </w:r>
          </w:p>
        </w:tc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971 018,18</w:t>
            </w:r>
          </w:p>
        </w:tc>
        <w:tc>
          <w:tcPr>
            <w:tcW w:w="1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940 559,96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30 458,22</w:t>
            </w:r>
          </w:p>
        </w:tc>
      </w:tr>
      <w:tr>
        <w:trPr/>
        <w:tc>
          <w:tcPr>
            <w:tcW w:w="2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Покос травы</w:t>
            </w:r>
          </w:p>
        </w:tc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62 240</w:t>
            </w:r>
          </w:p>
        </w:tc>
        <w:tc>
          <w:tcPr>
            <w:tcW w:w="1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58 000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4 240</w:t>
            </w:r>
          </w:p>
        </w:tc>
      </w:tr>
      <w:tr>
        <w:trPr/>
        <w:tc>
          <w:tcPr>
            <w:tcW w:w="2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Покос борщевика</w:t>
            </w:r>
          </w:p>
        </w:tc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10 000</w:t>
            </w:r>
          </w:p>
        </w:tc>
        <w:tc>
          <w:tcPr>
            <w:tcW w:w="1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5000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5000</w:t>
            </w:r>
          </w:p>
        </w:tc>
      </w:tr>
      <w:tr>
        <w:trPr/>
        <w:tc>
          <w:tcPr>
            <w:tcW w:w="2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Закупка песка</w:t>
            </w:r>
          </w:p>
        </w:tc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16 000</w:t>
            </w:r>
          </w:p>
        </w:tc>
        <w:tc>
          <w:tcPr>
            <w:tcW w:w="1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15 450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550</w:t>
            </w:r>
          </w:p>
        </w:tc>
      </w:tr>
      <w:tr>
        <w:trPr/>
        <w:tc>
          <w:tcPr>
            <w:tcW w:w="2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Уборка снега</w:t>
            </w:r>
          </w:p>
        </w:tc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279 000</w:t>
            </w:r>
          </w:p>
        </w:tc>
        <w:tc>
          <w:tcPr>
            <w:tcW w:w="1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250 306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28 694</w:t>
            </w:r>
          </w:p>
        </w:tc>
      </w:tr>
      <w:tr>
        <w:trPr/>
        <w:tc>
          <w:tcPr>
            <w:tcW w:w="2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Фонд оплаты труда</w:t>
            </w:r>
          </w:p>
        </w:tc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1 216 520</w:t>
            </w:r>
          </w:p>
        </w:tc>
        <w:tc>
          <w:tcPr>
            <w:tcW w:w="1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945 000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271 520</w:t>
            </w:r>
          </w:p>
        </w:tc>
      </w:tr>
      <w:tr>
        <w:trPr/>
        <w:tc>
          <w:tcPr>
            <w:tcW w:w="2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Канцелярия</w:t>
            </w:r>
          </w:p>
        </w:tc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10 000</w:t>
            </w:r>
          </w:p>
        </w:tc>
        <w:tc>
          <w:tcPr>
            <w:tcW w:w="1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35 428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-26 428</w:t>
            </w:r>
          </w:p>
        </w:tc>
      </w:tr>
      <w:tr>
        <w:trPr/>
        <w:tc>
          <w:tcPr>
            <w:tcW w:w="2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Резервный фонд</w:t>
            </w:r>
          </w:p>
        </w:tc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160 000</w:t>
            </w:r>
          </w:p>
        </w:tc>
        <w:tc>
          <w:tcPr>
            <w:tcW w:w="1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117 305,87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42 694,13</w:t>
            </w:r>
          </w:p>
        </w:tc>
      </w:tr>
      <w:tr>
        <w:trPr/>
        <w:tc>
          <w:tcPr>
            <w:tcW w:w="2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Земельный налог</w:t>
            </w:r>
          </w:p>
        </w:tc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72 000</w:t>
            </w:r>
          </w:p>
        </w:tc>
        <w:tc>
          <w:tcPr>
            <w:tcW w:w="1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0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72 000</w:t>
            </w:r>
          </w:p>
        </w:tc>
      </w:tr>
      <w:tr>
        <w:trPr/>
        <w:tc>
          <w:tcPr>
            <w:tcW w:w="2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ЭДО</w:t>
            </w:r>
          </w:p>
        </w:tc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19 190</w:t>
            </w:r>
          </w:p>
        </w:tc>
        <w:tc>
          <w:tcPr>
            <w:tcW w:w="1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32 858,92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-13 668,92</w:t>
            </w:r>
          </w:p>
        </w:tc>
      </w:tr>
      <w:tr>
        <w:trPr/>
        <w:tc>
          <w:tcPr>
            <w:tcW w:w="2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Кап.ремонт центр.дор.</w:t>
            </w:r>
          </w:p>
        </w:tc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639 200</w:t>
            </w:r>
          </w:p>
        </w:tc>
        <w:tc>
          <w:tcPr>
            <w:tcW w:w="1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639 200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0</w:t>
            </w:r>
          </w:p>
        </w:tc>
      </w:tr>
      <w:tr>
        <w:trPr/>
        <w:tc>
          <w:tcPr>
            <w:tcW w:w="2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Забор 110м и 50м</w:t>
            </w:r>
          </w:p>
        </w:tc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151 566,48</w:t>
            </w:r>
          </w:p>
        </w:tc>
        <w:tc>
          <w:tcPr>
            <w:tcW w:w="1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151 566,48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0</w:t>
            </w:r>
          </w:p>
        </w:tc>
      </w:tr>
      <w:tr>
        <w:trPr/>
        <w:tc>
          <w:tcPr>
            <w:tcW w:w="2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Разраб. нового Устава</w:t>
            </w:r>
          </w:p>
        </w:tc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60 000</w:t>
            </w:r>
          </w:p>
        </w:tc>
        <w:tc>
          <w:tcPr>
            <w:tcW w:w="1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0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60 000</w:t>
            </w:r>
          </w:p>
        </w:tc>
      </w:tr>
      <w:tr>
        <w:trPr/>
        <w:tc>
          <w:tcPr>
            <w:tcW w:w="2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Юридический фонд</w:t>
            </w:r>
          </w:p>
        </w:tc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72 000</w:t>
            </w:r>
          </w:p>
        </w:tc>
        <w:tc>
          <w:tcPr>
            <w:tcW w:w="1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75 771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Style20"/>
              <w:rPr/>
            </w:pPr>
            <w:r>
              <w:rPr/>
              <w:t>-3771</w:t>
            </w:r>
          </w:p>
          <w:p>
            <w:pPr>
              <w:pStyle w:val="Style20"/>
              <w:rPr/>
            </w:pPr>
            <w:r>
              <w:rPr/>
            </w:r>
          </w:p>
        </w:tc>
      </w:tr>
    </w:tbl>
    <w:p>
      <w:pPr>
        <w:pStyle w:val="Normal"/>
        <w:jc w:val="both"/>
        <w:rPr/>
      </w:pPr>
      <w:r>
        <w:rPr>
          <w:b w:val="false"/>
          <w:bCs w:val="false"/>
          <w:sz w:val="28"/>
          <w:szCs w:val="28"/>
        </w:rPr>
        <w:tab/>
        <w:t xml:space="preserve">Покрытие минусового показатели по ст.Шлагбаум ожидается после раскупки оставшихся брелоков для въезда. </w:t>
      </w:r>
    </w:p>
    <w:p>
      <w:pPr>
        <w:pStyle w:val="Normal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ab/>
        <w:t>Ожидается отрицательный показатель по вывозу ТКО после оплаты счетов в мае, т.к. в декабре был выявлен и оплачен возникший ранее (в 2024г.) не внесенный в смету долг в размере 119 000 руб.</w:t>
      </w:r>
    </w:p>
    <w:p>
      <w:pPr>
        <w:pStyle w:val="Normal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ab/>
        <w:t>Минусовой показатель по административным расходам (ст.Канцелярия) связан с неправильным планированием расходов при внесении в смету.</w:t>
      </w:r>
    </w:p>
    <w:p>
      <w:pPr>
        <w:pStyle w:val="Normal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ab/>
        <w:t>Перерасход по оплате электронного документооборота и электронной отчетности связан с повышением оператором ситстемы «Контур» тарифов.</w:t>
      </w:r>
    </w:p>
    <w:p>
      <w:pPr>
        <w:pStyle w:val="Normal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ab/>
        <w:t>Перерасход по ст.Юридический фонд является временным, т.к. уплаченные госпошлины (судебные расходы) в дальнейшем возмещаются за счет должника.</w:t>
      </w:r>
    </w:p>
    <w:p>
      <w:pPr>
        <w:pStyle w:val="Normal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ab/>
        <w:t>Остаток по ст.Разработка нового Устава связана с тем, что проект Устава был разработан силами правления, без привлечения платных специалистов.</w:t>
      </w:r>
    </w:p>
    <w:p>
      <w:pPr>
        <w:pStyle w:val="Normal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ab/>
        <w:t>Остаток по ст.Земельный налог обусловлен тем, что ФНС не выставляла счет на налог, а на случай выставления на Едином налоговом счету имеется достаточная для оплаты сумма.</w:t>
      </w:r>
    </w:p>
    <w:p>
      <w:pPr>
        <w:pStyle w:val="Normal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ab/>
        <w:t>Остаток по ст.ФОТ (даже после оплаты з/п в мае) сформировался вследствие фактического временного отсутствия председателя товарищества, в связи с чем з/п ему с января не выплачивается, соответственно нет налоговых и социальных отчислений.</w:t>
      </w:r>
    </w:p>
    <w:p>
      <w:pPr>
        <w:pStyle w:val="Normal"/>
        <w:jc w:val="both"/>
        <w:rPr/>
      </w:pPr>
      <w:r>
        <w:rPr>
          <w:b w:val="false"/>
          <w:bCs w:val="false"/>
          <w:sz w:val="28"/>
          <w:szCs w:val="28"/>
        </w:rPr>
        <w:tab/>
      </w:r>
      <w:r>
        <w:rPr>
          <w:b w:val="false"/>
          <w:bCs w:val="false"/>
          <w:sz w:val="28"/>
          <w:szCs w:val="28"/>
        </w:rPr>
        <w:t>Помимо всего</w:t>
      </w:r>
      <w:r>
        <w:rPr>
          <w:b w:val="false"/>
          <w:bCs w:val="false"/>
          <w:sz w:val="28"/>
          <w:szCs w:val="28"/>
        </w:rPr>
        <w:t>, из-за действующего договора с геодезистами (с 2023г.) мы должны держать на остатке 100 000р. для закрытия договора, если работы по нему были бы выполнены. Сейчас они приостановлены на неопределнный срок из-за того, что порядка 10 участков имеют неправильное межевание, их границы налезают на земли общего назначения, при этом владельцы этих участков, отказываясь проводить перемежевание  мешают завершить работы. Это участки: 43,67,163,190,192,195,203,222,236,259.</w:t>
      </w:r>
    </w:p>
    <w:p>
      <w:pPr>
        <w:pStyle w:val="Normal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ab/>
        <w:t>На 27 апреля:</w:t>
      </w:r>
    </w:p>
    <w:p>
      <w:pPr>
        <w:pStyle w:val="Normal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- при плановом приходе взносов 4 297 589 р. собрано 4 086 728р., дефицит составляет 210 861р. вследствие неплатежей должников и заброшенных участков;</w:t>
      </w:r>
    </w:p>
    <w:p>
      <w:pPr>
        <w:pStyle w:val="Normal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- затраты составили 3 745 494р., текущий остаток на расходы до конца финансового года 341 235р.</w:t>
      </w:r>
    </w:p>
    <w:p>
      <w:pPr>
        <w:pStyle w:val="Normal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ab/>
      </w:r>
    </w:p>
    <w:p>
      <w:pPr>
        <w:pStyle w:val="Normal"/>
        <w:jc w:val="both"/>
        <w:rPr>
          <w:b w:val="false"/>
          <w:b w:val="false"/>
          <w:bCs w:val="false"/>
          <w:sz w:val="28"/>
          <w:szCs w:val="28"/>
        </w:rPr>
      </w:pPr>
      <w:r>
        <w:rPr/>
      </w:r>
    </w:p>
    <w:p>
      <w:pPr>
        <w:pStyle w:val="Normal"/>
        <w:jc w:val="both"/>
        <w:rPr/>
      </w:pPr>
      <w:r>
        <w:rPr>
          <w:b w:val="false"/>
          <w:bCs w:val="false"/>
          <w:sz w:val="28"/>
          <w:szCs w:val="28"/>
        </w:rPr>
        <w:tab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5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jc w:val="left"/>
    </w:pPr>
    <w:rPr>
      <w:rFonts w:ascii="Liberation Serif" w:hAnsi="Liberation Serif" w:eastAsia="Noto Sans CJK SC Regular" w:cs="FreeSans"/>
      <w:color w:val="00000A"/>
      <w:kern w:val="0"/>
      <w:sz w:val="24"/>
      <w:szCs w:val="24"/>
      <w:lang w:val="ru-RU" w:eastAsia="zh-CN" w:bidi="hi-IN"/>
    </w:rPr>
  </w:style>
  <w:style w:type="character" w:styleId="Style14">
    <w:name w:val="Символ нумерации"/>
    <w:qFormat/>
    <w:rPr/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Free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FreeSans"/>
    </w:rPr>
  </w:style>
  <w:style w:type="paragraph" w:styleId="Style20">
    <w:name w:val="Содержимое таблицы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388</TotalTime>
  <Application>LibreOffice/6.0.7.3$Linux_X86_64 LibreOffice_project/00m0$Build-3</Application>
  <Pages>3</Pages>
  <Words>837</Words>
  <Characters>5048</Characters>
  <CharactersWithSpaces>5810</CharactersWithSpaces>
  <Paragraphs>117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2023-06-23T11:51:08Z</dcterms:created>
  <dc:creator/>
  <dc:description/>
  <dc:language>ru-RU</dc:language>
  <cp:lastModifiedBy/>
  <cp:lastPrinted>2026-04-26T15:00:28Z</cp:lastPrinted>
  <dcterms:modified xsi:type="dcterms:W3CDTF">2026-04-28T13:53:43Z</dcterms:modified>
  <cp:revision>10</cp:revision>
  <dc:subject/>
  <dc:title/>
</cp:coreProperties>
</file>